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febrero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1619-2002), el Auto de la referida Sala de 11 de febrero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1619-2002 interpuesto por “Iberdrola Distribución Eléctrica, S.A.” ante la Sala de lo Contencioso-Administrativo del Tribunal Superior de Justicia de Extremadura, contra la Resolución de la Junta Económico-Administrativa Regional de Extremadura de fecha 29 de octubre de 2002, que desestima la reclamación (núm. 161-2002) interpuesta contra la Resolución del Jefe del Servicio de Inspección Fiscal de la Dirección General de Ingresos de la Consejería de Economía, Industria y Comercio de la Junta de Extremadura con fecha de 13 de mayo de 2002, por la que se desestima el recurso de reposición planteado contra la liquidación por el Impuesto extremeño sobre instalaciones que incidan en el medio ambiente correspondiente al ejercicio 2001. Admitido y tramitado el citado recurso, y una vez conclusos los autos, el día 29 de noviembre de 2004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Cuarta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255, de 25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octubre de 2005 se recibió una comunicación del Presidente del Senado, en el sentido de que se tuviera a dicha Cámara por personada en el procedimiento y por ofrecida su colaboración a los efectos del art. 88.1 LOTC. Posteriormente, por escrito registrado el 2 de noviembre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2 de noviembre de 2005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noviembre de 2005 presentó su escrito de alegaciones doña Ana C. Sánchez-Barriga Leitón, Letrada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16 de noviembre de 2005,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artículo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registrado el día 17 de noviembre de 2005,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11 de febrero de 2005,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7/1997, de 29 de mayo, de normas fiscales sobre producción y transporte de energía que incidan sobre el medio ambiente, por si pudiera ser contraria al art. 6.3 de la Ley Orgánica 8/1980, de 22 de septiembre, de financiación de las</w:t>
      </w:r>
    </w:p>
    <w:p w:rsidRPr="00C21FFE" w:rsidR="00AD51A7" w:rsidRDefault="008777C4">
      <w:pPr>
        <w:rPr/>
      </w:pPr>
      <w:r w:rsidRPr="&lt;w:rPr xmlns:w=&quot;http://schemas.openxmlformats.org/wordprocessingml/2006/main&quot;&gt;&lt;w:lang w:val=&quot;es-ES_tradnl&quot; /&gt;&lt;/w:rPr&gt;">
        <w:rPr/>
        <w:t xml:space="preserve">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1306-2005,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