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161-2003), el Auto de la referida Sala de 14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161-2003 interpuesto por “Airtel Móvil, S.A.” ante la Sala de lo Contencioso-Administrativo del Tribunal Superior de Justicia de Extremadura, contra la Resolución de la Junta Económico-Administrativa Regional de Extremadura de fecha 25 de noviembre de 2002, que desestima la reclamación (núm. 151-2002) interpuesta contra la Resolución sancionadora dictada en el expediente núm. 02210001 de la Consejería de Economía, Industria y Comercio de la Junta de Extremadura, por dejar de ingresar el Impuesto extremeño sobre instalaciones que incidan en el medio ambiente correspondiente a los ejercicios 1999, 2000 y 2001. Admitido y tramitado el citado recurso, y una vez conclusos los autos, el día 1 de diciembre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Salvador Mateos Sánchez,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14 de febrero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1308-2005,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