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febrero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342-2002), el Auto de la referida Sala de 10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342-2002 interpuesto por “Iberdrola Generación, S.A.” ante la Sala de lo Contencioso-Administrativo del Tribunal Superior de Justicia de Extremadura, contra la Resolución de la Junta Económico-Administrativa Regional de Extremadura de fecha 18 de febrero de 2002, que desestima la reclamación (núm. 127-2001) interpuesta contra la Resolución de la Consejería de Economía, Industria y Comercio de la Junta de Extremadura con fecha de 16 de octubre de 2001 por la que se deniega la petición de devolución de ingresos indebidos en relación con el Impuesto extremeño sobre instalaciones que incidan en el medio ambiente correspondiente al ejercicio 2001. Admitido y tramitado el citado recurso, y una vez conclusos los autos, el día 29 de noviembre de 2004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Primera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3 de noviembre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doña Ana C. Sánchez-Barriga Leitón, Letrada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10 de febrero de 2005,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1345-2005,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