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marzo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198-2001), el Auto de la referida Sala de 11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198-2001 interpuesto por “Endesa, S.A.,” ante la Sala de lo Contencioso-Administrativo del Tribunal Superior de Justicia de Extremadura, contra la Resolución presunta de la Junta Económico-Administrativa Regional de Extremadura, desestimatoria de la reclamación (núm. 1298/92) interpuesta contra la Resolución de la Dirección General de Ingresos de la Consejería de Economía, Industria y Comercio de la Junta de Extremadura con fecha de 15 de septiembre de 1999, que deniega la petición de devolución de ingresos indebidos en relación con el Impuesto extremeño sobre instalaciones que incidan en el medio ambiente correspondiente al ejercicio 1999.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José Ángel Rodríguez Jiménez,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11 de febrero de 2005,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1790-2005,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