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marzo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1618-2002), el Auto de la referida Sala de 11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1618-2002 interpuesto por “Iberdrola Distribución Eléctrica, S.A.” ante la Sala de lo Contencioso-Administrativo del Tribunal Superior de Justicia de Extremadura, contra la Resolución de la Junta Económico-Administrativa Regional de Extremadura de fecha 29 de octubre de 2002, desestimatoria de la reclamación (núm. 160-2002) interpuesta contra la Resolución de la Dirección General de Ingresos de la Consejería de Economía, Industria y Comercio de la Junta de Extremadura con fecha de 15 de mayo de 2002, que desestima el recurso de reposición planteado contra la sanción impuesta por dejar de ingresar el Impuesto extremeño sobre instalaciones que incidan en el medio ambiente correspondiente al ejercicio 2001.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Miguel Prieto Benítez,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11 de febrero de 2005,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1794-2005,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