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marzo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888/99), el Auto de la referida Sala de 14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888/99 interpuesto por “Compañía Sevillana de Electricidad, S.A.” ante la Sala de lo Contencioso-Administrativo del Tribunal Superior de Justicia de Extremadura, contra la Resolución de la Junta Económico-Administrativa Regional de Extremadura de fecha 26 de abril de 1999, desestimatoria de la reclamación (núm. 3/98) interpuesta contra la Resolución de la Dirección General de Ingresos de la Consejería de Economía, Industria y Comercio de la Junta de Extremadura con fecha de 1 de octubre de 1998, que desestima la petición de devolución de ingresos indebidos planteada en relación con el Impuesto extremeño sobre instalaciones que incidan en el medio ambiente correspondiente al ejercicio 1998.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 de noviembre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Salvador Mateos Sánchez,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14 de febrero de 2005, una cuestión de inconstitucionalidad respecto de la Ley de la Asamblea de Extremadura 7/1997, de 29 de mayo, de normas fiscales sobre producción y transporte de energía que incidan sobre el medio ambiente, por si pudiera ser contraria al art. 6.3 de la Orgánica 8/1980, de 22 de septiembre, de financiación de las 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1796-2005,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