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julio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1764-2003), el Auto de la referida Sala de 26 de abril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1764-2003 interpuesto por “Retevisión Móvil, S.A.” ante la Sala de lo Contencioso-Administrativo del Tribunal Superior de Justicia de Extremadura, contra la Resolución de la Junta Económico-Administrativa Regional de Extremadura de fecha 8 de octubre de 2003, desestimatoria de la reclamación (núm. 322-2002) interpuesta contra la liquidación núm. CP8012010013734 girada por la Dirección General de Ingresos de la Consejería de Economía, Industria y Comercio de la Junta de Extremadura con fecha de 10 de septiembre de 2002 en concepto de Impuesto extremeño sobre instalaciones que incidan en el medio ambiente correspondiente a los ejercicios 2000 y 2001. Admitido y tramitado el citado recurso, y una vez conclusos los autos, el día 9 de marzo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doña Ana C. Sánchez-Barriga Leitón, Letrada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26 de abril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4925-2005,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