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septiembre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528-2004), el Auto de la referida Sala de 25 de julio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528-2004 interpuesto por “Red Eléctrica de España, S.A.” ante la Sala de lo Contencioso-Administrativo del Tribunal Superior de Justicia de Extremadura, contra la Resolución de la Junta Económico-Administrativa Regional de Extremadura de fecha de 10 de marzo de 2004, desestimatoria de la reclamación (núm. 283-2003) interpuesta contra la Resolución de 2 de octubre de 2003 de la Dirección General de Ingresos de la Consejería de Economía, Industria y Comercio de la Junta de Extremadura que desestima la solicitud de devolución de ingresos indebidos en relación con el Impuesto extremeño sobre instalaciones que incidan en el medio ambiente correspondiente al ejercicio 2003. Admitido y tramitado el citado recurso, y una vez conclusos los autos, el día 16 de junio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José Ángel Rodríguez Jiménez,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25 de julio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6504-2005,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