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enero de 2006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1688-2003), el Auto de la referida Sala de 14 de diciembre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1688-2003 interpuesto por “Iberdrola Generación, S.A.” ante la Sala de lo Contencioso-Administrativo del Tribunal Superior de Justicia de Extremadura, contra la Resolución de la Junta Económico-Administrativa Regional de Extremadura de fecha de 8 de octubre de 2003, desestimatoria de la reclamación (núm. 352-2002) interpuesta contra la Resolución de la Dirección General de Ingresos de la Consejería de Economía, Industria y Comercio de la Junta de Extremadura con fecha de 30 de octubre de 2002 que desestima la petición de devolución de ingresos indebidos planteada con relación al Impuesto extremeño sobre Instalaciones que incidan en el medio ambiente correspondiente al ejercicio 2002. Admitido y tramitado el citado recurso, y una vez conclusos los autos, el día 9 de noviembre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2006,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50, de 28 de febrero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6 de marzo de 2006,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el día 9 de marzo siguiente se recibió una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23 de febrero de 2006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el día 2 de marzo de 2006,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3 de marzo de 2006, doña Caridad Domínguez Perals, Letrada de la Asamblea de Extremadura, en nombre y representación de la misma, evacuó el trámite de alegaciones solicitando se declare que la Ley 7/1997, de 29 de mayo,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22 de marzo de 2006 presentó su escrito de alegaciones don Fernando Cintas Espinal,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14 de diciembre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549-2006,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