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enero de 2006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1687-2003), el Auto de la referida Sala de 9 de enero de 2006,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1687-2003 interpuesto por “Iberdrola Distribución Eléctrica, S.A.U.” ante la Sala de lo Contencioso-Administrativo del Tribunal Superior de Justicia de Extremadura, contra la Resolución de la Junta Económico-Administrativa Regional de Extremadura de fecha de 8 de octubre de 2003, desestimatoria de la reclamación (núm. 348-2002) interpuesta contra la Resolución de la Dirección General de Ingresos de la Consejería de Economía, Industria y Comercio de la Junta de Extremadura con fecha de 30 de octubre de 2002 por la que se desestima la petición de devolución de ingresos indebidos en concepto de Impuesto extremeño sobre Instalaciones que incidan en el medio ambiente correspondiente al ejercicio 2002. Admitido y tramitado el citado recurso, y una vez conclusos los autos, el día 21 de noviembre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febrero de 2006,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61, de 13 de marzo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15 de marzo de 2006 se recibió una comunicación del Presidente del Senado, en el sentido de que se tuviera a dicha Cámara por personada en el procedimiento y por ofrecida su colaboración a los efectos del art. 88.1 LOTC. Posteriormente, el día 21 de marzo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10 de marzo de 2006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22 de marzo de 2006 presentó su escrito de alegaciones don Fernando Cintas Espinal,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evacuó el trámite conferido mediante escrito registrado el día 23 de marzo de 2006,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el día 23 de marzo de 2006, doña Caridad Domínguez Perals, Letrada de la Asamblea de Extremadura, en nombre y representación de la misma, evacuó el trámite de alegaciones solicitando se declare que la Ley 7/1997, de 29 de mayo,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9 de enero de 2006,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874-2006,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