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461-2004), el Auto de la referida Sala de 12 de enero de 2006,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461-2004 interpuesto por “Naturener, S.A.” ante la Sala de lo Contencioso-Administrativo del Tribunal Superior de Justicia de Extremadura, contra la Resolución de la Junta Económico-Administrativa Regional de Extremadura de fecha de 13 de febrero de 2004, desestimatoria de la reclamación (núm. 250-2003) interpuesta contra la liquidación núm. 8012010013086 girada por la Dirección General de Ingresos de la Consejería de Economía, Industria y Comercio de la Junta de Extremadura con fecha de 30 de septiembre de 2003 en concepto de Impuesto extremeño sobre instalaciones que incidan en el medio ambiente correspondiente a los ejercicios 1998, 1999, 2000 y 2001. Admitido y tramitado el citado recurso, y una vez conclusos los autos, el día 15 de diciembre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febrero de 2006, la Sección Segunda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61, de 13 de marzo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15 de marzo de 2006 se recibió una comunicación del Presidente del Senado, en el sentido de que se tuviera a dicha Cámara por personada en el procedimiento y por ofrecida su colaboración a los efectos del art. 88.1 LOTC. Posteriormente, el día 21 de marzo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10 de marzo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23 de marzo de 2006,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evacuó el trámite conferido mediante escrito registrado el día 23 de marzo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24 de marzo de 2006 presentó su escrito de alegaciones don Fernando Cintas Espinal,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12 de enero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875-2006,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