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2006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511-2004), el Auto de la referida Sala de 12 de enero de 2006,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511-2004 interpuesto por “Naturener, S.A.” ante la Sala de lo Contencioso-Administrativo del Tribunal Superior de Justicia de Extremadura, contra la Resolución de la Junta Económico-Administrativa Regional de Extremadura de fecha de 12 de diciembre de 2003, desestimatoria de la reclamación (núm. 167-2003) interpuesta contra la liquidación núm. 8013010014974 girada por la Dirección General de Ingresos de la Consejería de Economía, Industria y Comercio de la Junta de Extremadura en relación con el Impuesto extremeño sobre instalaciones que incidan en el medio ambiente correspondiente al ejercicio 2002. Admitido y tramitado el citado recurso, y una vez conclusos los autos, el día 15 de diciembre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2006, la Sección Tercera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50, de 28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6 de marzo de 2006,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Posteriormente, el día 9 de marzo siguiente se recibió una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23 de febrero de 2006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el día 2 de marzo de 2006,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3 de marzo de 2006,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22 de marzo de 2006 presentó su escrito de alegaciones don Fernando Cintas Espinal,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12 de enero de 2006, una cuestión de inconstitucionalidad respecto de la Ley de la Asamblea de Extremadura 7/1997, de 29 de mayo, de normas fiscales sobre producción y transporte de energía que incidan sobre el medio ambiente, por si pudiera ser contraria al art. 6.3 de la Ley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876-2006,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