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25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mayo de 2004, el Procurador de los Tribunales don Fernando Ruiz de Velasco Martínez Ercilla, en nombre y representación de don José Luis Varez Fisa y doña María Milagros Benegas Mendía, y bajo la dirección del Letrado don Bartolomé Alfonso Ferrer, interpuso recurso de amparo contra el Auto del Juzgado de Primera Instancia núm. 51 de Madrid de 16 de abril de 2004, dictado en el procedimiento de ejecución provisional núm 204-2004, exclusivamente respecto del pronunciamiento relativo a la imposición de costas en dicho incidente, solicitando que se suspendiera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sendas providencias de 20 de julio de 2006,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por escrito registrado el 28 de julio de 2006, presentaron alegaciones poniendo de manifiesto que las costas están todavía siendo objeto de tasación, pero que su cuantía será elevada, ya que la ejecución provisional fue despachada por un total de 12.154.482,47 €, que ya ha sido consignado, con seria afectación a su patrimonio, por lo que la no suspensión agravaría la situación causando graves perjuicios. Igualmente se destaca, en segundo lugar, que teniendo en cuenta la apariencia de buen derecho del recurso y que la contraparte carece de bienes conocidos, si no se suspende la ejecución el recurso de amparo podría perder su finalidad, al ser difícil su ulterior recuperación.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1 de septiembre de 2006, presentó alegaciones interesando la denegación de la suspensión, al tratarse de una condena con contenido económico cuya ejecución no causaría un perjuicio irreparable ni perjudicaría la finalidad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Tribunal ha reiterado que la ejecución de resoluciones cuyos efectos son patrimoniales o de contenido económico ni causan un perjuicio irreparable al obligado al pago ni la eventual estimación del amparo les haría perder su finalidad, toda vez que es legalmente posible en caso de estimación que se obtenga la devolución de lo pagado, si bien se ha admitido excepcionalmente su suspensión en supuestos en que por su cuantía se acreditaran perjuicios económicos difícilmente reparables (por todos, ATC 152/2006, de 8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tal como también expone el Ministerio Fiscal, se ha de denegar la suspensión solicitada. Por un lado, la suspensión se refiere a un pronunciamiento de exclusivo contenido económico cuya cuantía, aunque pueda ser elevada, todavía no ha sido siquiera fijada en vía judicial, tal como reconocen los propios solicitantes. Y, por otro, no se ha acreditado en qué consistiría el perjuicio económico o de qué modo la ejecución haría perder la finalidad del amparo. En efecto, si bien se hace mención, en cuanto a lo primero, a la posible elevada cuantificación de las costas y al hecho de que ya se han consignado en concepto de ejecución provisional 12.154.482,47 €, ninguna justificación ni alegación se realiza en cuanto a la imposibilidad o dificultad económica real de los recurrente, en relación a su patrimonio, para hacer frente al pago de las costas impuestas en el incidente de ejecución provisional. E, igualmente, en cuanto a lo segundo, la referencia que se hace a la eventual imposibilidad de recuperar lo abonado en caso de estimarse el amparo por la insolvencia de la contraparte, está absolutamente ayuna de cualquier justificación.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