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21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mayo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687-2005), el Auto de la referida Sala de 25 de abril de 2006, mediante el que se acuerda elevar a este Tribunal cuestión de inconstitucionalidad respecto de la Ley de la Asamblea de Extremadura 7/1997, de 29 de marzo,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687/2005 interpuesto por “Red Eléctrica de España, S.A.” ante la Sala de lo Contencioso-Administrativo del Tribunal Superior de Justicia de Extremadura, contra la Resolución de la Junta Económico-Administrativa Regional de Extremadura de fecha de 13 de junio de 2005, desestimatoria de la reclamación (núm. 35-2005) interpuesta contra la Resolución de la Dirección General de Ingresos de la Consejería de Economía, Industria y Comercio de la Junta de Extremadura con fecha de 11 de enero de 2005 que desestima la solicitud de devolución de ingresos indebidos en concepto de Impuesto extremeño sobre Instalaciones que incidan en el medio ambiente correspondiente al ejercicio 2004 por importe de 794.775,62 €. Admitido y tramitado el citado recurso, y una vez conclusos los autos, el día 15 de marzo de 2006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marzo,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 condiciona dicha potestad a que dichos tributos no puedan “recaer sobre hechos imponibles gravados por el Estado” pero sí sobre “las materias que la legislación de Régimen Local reserve a las Corporaciones Locales” , aunque sólo, “en los supuestos en que dicha legislación lo prevea y en los términos en que la misma contemple” .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julio de 2006, la Sección Tercera de este Tribunal acordó, a los efectos que determina el art. 37.1 LOTC, oír al Fiscal General del Estado para que, en el plazo de diez días, alegase lo que considerase conveniente acerca de la admisibilidad de la presente cuestión de inconstitucionalidad, por si hubiese perdido su objeto (STC 179/2006, de 13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13 de julio de 2006, interesando de este Tribunal que se dicte auto declarando la pérdida de objeto de la presente la cuestión de inconstitucionalidad con fundamento en que es idéntica a la registrada con el núm. 1219-2005, que ha sido resuelta en sentido estimatorio por la STC 179/2006, de 13 de junio, publicada en el BOE de 7 de julio siguiente, en la que se declaraba inconstitucional y nula la Ley de la Asamblea de Extremadura 7/1997, de 29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25 de abril de 2006,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5164-2006,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