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22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junio de 2006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236-2004), el Auto de la referida Sala de 23 de mayo de 2006, mediante el que se acuerda elevar a este Tribunal cuestión de inconstitucionalidad respecto de la Ley de la Asamblea de Extremadura 7/1997, de 29 de marzo,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236-2004 interpuesto por “Saltos del Jerte, S.L.” ante la Sala de lo Contencioso-Administrativo del Tribunal Superior de Justicia de Extremadura, contra la Resolución de la Junta Económico-Administrativa Regional de Extremadura de fecha de 12 de diciembre de 2003, desestimatoria de la reclamación (núm. 120-2003) interpuesta contra la liquidación girada por la Dirección General de Ingresos de la Consejería de Economía, Industria y Comercio de la Junta de Extremadura en relación con el Impuesto extremeño sobre Instalaciones que incidan en el medio ambiente correspondiente al ejercicio 2002, por importe de 16.719,01 €. Admitido y tramitado el citado recurso, y una vez conclusos los autos, el día 25 de abril de 2006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marzo,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julio de 2006, la Sección Segunda de este Tribunal acordó, a los efectos que determina el art. 37.1 LOTC, oír al Fiscal General del Estado para que, en el plazo de diez días, alegase lo que considerase conveniente acerca de la admisibilidad de la presente cuestión de inconstitucionalidad, por si hubiese perdido su objeto (STC 179/2006, de 13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13 de julio de 2006, interesando de este Tribunal que se dicte auto declarando la pérdida de objeto de la presente la cuestión de inconstitucionalidad con fundamento en que es idéntica a la registrada con el núm. 1219-2005, que ha sido resuelta en sentido estimatorio por la STC 179/2006, de 13 de junio, publicada en el BOE de 7 de julio siguiente, en la que se declaraba inconstitucional y nula la Ley de la Asamblea de Extremadura 7/1997, de 29 de mayo.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23 de mayo de 2006,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6517-2006,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