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12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junio de 2006 ha tenido entrada en el Registro General de este Tribunal Constitucional escrito de la Sección Primera de la Sala de lo Contencioso-Administrativo del Tribunal Superior de Justicia de Extremadura al que se acompaña, junto al testimonio del procedimiento ordinario núm. 422-2004, el Auto de la referida Sala de 23 de mayo de 2006,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éstas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422-2004 interpuesto por “Unión Fenosa Generación, S.A.” ante la Sala de lo Contencioso-Administrativo del Tribunal Superior de Justicia de Extremadura, contra la resolución de la Junta Económico-Administrativa Regional de Extremadura de fecha de 13 de febrero de 2004, desestimatoria de la reclamación (núm. 261-2003) interpuesta contra la resolución del Jefe del Servicio de gestión tributaria e ingresos de la Consejería de hacienda y presupuesto de la Junta de Extremadura de 16 de septiembre de 2003 por la que se desestimaba la solicitud de devolución de ingresos indebidos en relación con el impuesto extremeño sobre instalaciones que incidan en el medio ambiente correspondiente al ejercicio 2003, por importe de 2.279.003,18 €. Admitido y tramitado el citado recurso, y una vez conclusos los autos, el día 25 de abril de 2006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julio de 2006, la Sección Primera de este Tribunal acordó, a los efectos que determina el art. 37.1 LOTC, oír al Fiscal General del Estado para que, en el plazo de diez días, alegase lo que considerase conveniente acerca de la admisibilidad de la presente cuestión de inconstitucionalidad, por si hubiese perdido su objeto (STC 179/2006, de 13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13 de julio de 2006, interesando de este Tribunal que se dicte auto declarando la pérdida de objeto de la presente la cuestión de inconstitucionalidad con fundamento en que es idéntica a la registrada con el núm. 1219-2005, que ha sido resuelta en sentido estimatorio por la STC 179/2006, de 13 de junio, publicada en el BOE de 7 de julio siguiente, en la que se declaraba inconstitucional y nula la Ley de la Asamblea de Extremadura 7/1997, de 29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23 de mayo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6170-2006,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