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octubre de 2006, la Procuradora de los Tribunales doña Mercedes Espallargas Carbó interpuso, en nombre de don José Orlando Botero Henao, recurso de amparo contra los Autos de fecha 7 y 31 de agosto de 2006, dictado por la Sección Primera de la Sala de lo Penal de la Audiencia Nacional, dictado en el rollo núm 22-2002, sumario núm. 11-2002, procedente del Juzgado Central de Instrucción núm. 6, por conculcar el derecho a la tutela judicial efectiva (art. 24.1 CE) y el derecho a la libertad personal (art. 17.4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en primer lugar la violación del derecho a la tutela judicial efectiva (art. 24.1 CE), porque la Sala no se pronunció en ningún momento sobre la pretensión planteada, relativa a la violación del derecho a la libertad por no haberse pronunciado sobre la prórroga de la prisión provisional antes de la expiración del término ordinario legalmente previsto. En su segundo motivo, el núcleo sustancial de la queja del demandante de amparo reside en la vulneración del derecho a la libertad personal que supone la permanencia en prisión provisional más allá del límite permitido legalmente sin que, con carácter previo, se hubiese dictado un Auto en el que de forma expresa se prorrogara la prisión provisional.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16 de enero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25 de enero de 2007 el Ministerio Fiscal interesó la denegación de la suspensión solicitada de la pena privativa de libertad, alegando que en el presente caso resulta aplicable la específica doctrina constitucional que repite que la suspensión debe ser descartada cuando la concesión de la misma equivalga al otorgamiento anticipado del amparo, pues desde la perspectiva de este proceso constitucional suspender su ejecutoriedad implicaría anticipar de hecho los eventuales efectos del otorgamiento del amparo extramuros de la finalidad cautelar de la medida. En este caso, el recurrente se encuentra en situación de prisión provisional, privado de libertad desde su captura y extradición desde Colombia a España, en razón de un sumario seguido en la Audiencia Nacional por delito de tráfico de droga, y recurre en amparo contra la lesión que atribuye al Auto que desestima su petición de libertad y acuerda el mantenimiento de su situación de prisión provisional a su vez recurrido en súplica (que fue desestimada). Así pues, suspender la decisión de mantener la prisión provisional llevaría aneja la puesta en libertad del recurrente y equivaldría –con independencia del alcance y efectos de una eventual sentencia estimatoria en este recurso- al otorgamiento anticipado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se ha de examinar la petición de suspensión de las resoluciones judiciales denegando la libertad provisional del recurrente. Hemos indicado consecuentemente que “es doctrina reiterada de este Tribunal que si bien la afección del derecho a la libertad personal de las resoluciones impugnadas supone que su ejecución causa perjuicios irreparables, sin embargo, la suspensión de la ejecución de las resoluciones judiciales relativas a medidas cautelares de acuerdo o prórroga de prisión provisional equivaldría a un otorgamiento anticipado del amparo, no procediendo en este trámite un examen de fondo de la demanda. En particular, hemos declarado: “Cuando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Hemos reiterado que cuando lo que se recurre son resoluciones judiciales existe un interés general en su ejecución, y, a su vez, que este principio ha de ser matizado caso a caso, pues en otro supuesto nunca cabría la suspensión de resoluciones judiciales al convertirse la perturbación del interés general en causa de denegación de la misma. La mera perturbación que provoca ya la pérdida de ejecutividad de una resolución judicial no puede impedir por sí sola la suspensión (ATC 169/1995), por tanto el análisis ha de efectuarse caso por caso valorando los intereses en conflicto. 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[ATC 332/1996; en sentido similar AATC 249/1996, 22/1997, 164/1998, 147/2000, 275/1999, 121/2001]” (ATC 364/2003, de 10 de noviembre,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no procede conceder la suspensión solicitada; sin embargo, la gravedad y certeza de los perjuicios que esta denegación puede ocasionar obligan a este Tribunal a reducir en lo posible esos efectos, con lo que, como se ha hecho en otros casos, y singularmente en los antes citados, la Sala acuerda acelerar la resolución del presente recurso, incluso anteponiéndola en el orden de señalamientos (AATC 249/1996, 22/1997, 164/1998, 147/2000, 275/1999, 121/2001, 364/2003, 415/2004).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los Autos de la Sección Primera de la Sala de lo Penal de la Audiencia Nacional de 7 y 31 de agosto de 2006, dictados en el rollo núm. 22-2002.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