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octubre de 2006, la Procuradora de los Tribunales, doña María Macarena Rodríguez Ruiz, asistida por el Letrado don Pedro Escorial Hernanz, interpuso, en nombre de don Jesús Antonio Cuervo Álvarez, recurso de amparo contra la Sentencia núm. 23/2006, dictada por la Sección Segunda de la Audiencia Provincial de León el 24 de marzo de 2006, resolviendo el recurso de apelación interpuesto por el ahora recurrente contra la Sentencia núm. 295/2005, dictada por el Juzgado de lo Penal núm. 1 de León el 3 de noviembre de 2005. En primera instancia, el recurrente fue condenado como autor de un delito de calumnias a la pena de doce meses de multa con una cuota diaria de seis euros, con una responsabilidad penal subsidiaria de un día de privación de libertad por cada dos cuotas impagadas, así como al pago de tres mil euros en concepto de indemnización por los daños morales causados a los perjudicados, y al pago de las costas procesales. Por su parte, la Sentencia de la Audiencia Provincial de León estimó parcialmente el recurso de apelación interpuesto contra la Sentencia de instancia, confirmándola en todos sus extremos, excepto en el relativo a la pena de multa, que se fijó en seis meses con la misma cuota diaria, “declarando de oficio las costas procesales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ambas resoluciones judiciales vulneran su derecho fundamental a la libertad de expresión [art. 20.1 a) CE] y solicita, mediante otrosí, la suspensión de la ejecución de la pena, así como del pago de la indemnización que le fue impuesta, porque su cumplimiento le ocasionaría un perjuicio que haría perder al recurso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10 de enero de 2007 la Sección Primera de este Tribunal acordó admitir a trámite la demanda de amparo y, de conformidad con lo previsto en el art. 56 LOTC, abrir pieza separada de suspensión y conceder un plazo común de tres días al Ministerio Fiscal y al demandante de amparo para que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ante este Tribunal el 16 de enero de 2007, la representación del demandante se ha ratificado en su petición de suspensión de la pena y de la indemnización impuestas, por cuanto su ejecución no sólo ocasionaría al recurrente un evidente y grave perjuicio, sino que haría perder al recurso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19 de enero de 2007 el Ministerio Fiscal ha interesado la suspensión de la pena en lo que se refiere a la responsabilidad personal subsidiaria por impago de la multa, pero no respecto al pago de esta última ni de la indemnización por daños morales ni de las costas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suspensión tiene por objeto los pronunciamientos contenidos en la Sentencia núm. 23/2006, dictada por la Sección Segunda de la Audiencia Provincial de León el 24 de marzo de 2006, por la que se estima parcialmente el recurso de apelación interpuesto contra la Sentencia núm. 295/2005 del Juzgado de lo Penal núm. 1 de León de 3 de noviembre de 2005. De la lectura conjunta de ambas resoluciones se desprende que los pronunciamientos cuya suspensión se pretende son cuatro: la pena de seis meses de multa, con una cuota diaria de seis euros, como autor de un delito de calumnias; la declaración de responsabilidad personal subsidiaria en caso de impago de un día de privación de libertad por cada dos cuotas impagadas; la condena al pago de tres mil euros en concepto de indemnización por daños morales; y la condena a pagar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interpretación que este Tribunal viene haciendo del art. 56.1 LOTC se deriva claramente que la ejecución de los contenidos o efectos económicos de las sentencias no ocasiona, al menos en principio, un perjuicio irreparable al obligado al pago que haga perder al recurso de amparo su finalidad, dado que es legalmente posible obtener la restitución íntegra de lo abonado en caso de estimación de la demanda (por todos, AATC 321/2006, de 25 de septiembre, y 152/2006, de 8 de mayo). En atención a ello, y tal y como sostiene el Ministerio Fiscal, debe denegarse la suspensión de la pena de multa, de la indemnización por daños morales y de la condena en costas derivadas de las resoluciones recurridas, puesto que el recurrente tampoco ha acreditado, como le corresponde hacer (ATC 35/2002, de 11 de marzo, entre otros), de qué manera su eventual ejecución le podría deparar un perjuicio irreversible e irreparable o haría perder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 posible acceder a la petición de suspensión respecto de la responsabilidad personal subsidiaria para el caso de impago de la pena de multa. Como viene siendo doctrina constante en los últimos años (AATC 107/1998, de 4 de mayo, 136/1999, de 31 de mayo, 61/2000, de 28 de febrero, 41/2002, de 13 de marzo, 362/2003, de 10 de noviembre, 369/2004, de 4 de octubre, y 279/2006, de 17 de julio), la responsabilidad personal subsidiaria hace referencia a una eventualidad futura que, de sobrevenir (por falta de abono voluntario o en vía de apremio), podría dar lugar a la adopción de la medida cautelar que se solicita en virtud de lo dispuesto en el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respecto de la ejecución de la Sentencia núm. 23/2006 de la Sección Segunda de la Audiencia Provincial de León de 24 de marzo de 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