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16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135-2003) interpuesto por la mercantil Belén Viviendas de Protección Oficial, S.A.,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26 de diciembre de 2003 en virtud del cual quedaban en suspenso en cuanto al plazo establecido para dictar Sentencia hasta tanto no se resolviera el recurso de inconstitucionalidad núm. 3958-1998, interpuesto por la Abogacía del Estado contra determinados preceptos de la Ley de las Cortes de Castilla-La Mancha 2/1998. Mediante providencia de 13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las Cortes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Cuarta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10 de abril de 2006, solicitando que se le tuviera por personado y parte en nombre del Gobierno y que se dictase en su día Sentencia estimatoria de la cuestión, declarando inconstitucionales y nulos los arts. 51.1.2 e) y 69.2.a.2 de la Ley de las Cortes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w:t>
      </w:r>
    </w:p>
    <w:p w:rsidRPr="00C21FFE" w:rsidR="00AD51A7" w:rsidRDefault="008777C4">
      <w:pPr>
        <w:rPr/>
      </w:pPr>
      <w:r w:rsidRPr="&lt;w:rPr xmlns:w=&quot;http://schemas.openxmlformats.org/wordprocessingml/2006/main&quot;&gt;&lt;w:lang w:val=&quot;es-ES_tradnl&quot; /&gt;&lt;/w:rPr&gt;">
        <w:rPr/>
        <w:t xml:space="preserve">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9507-2005,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