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26 de diciembre de 2005, al que se acompaña el correspondiente Auto de 14 de noviembre de 2005,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177-2002) interpuesto por la mercantil Promociones Circo Rosa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24 de septiembre de 2002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letras d) y e); art. 69, apartado 2 y art. 71.3 en cuanto resulta relacionado con el 69, todos ellos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Tercera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 escrito de alegaciones el día 4 de abril de 2006, solicitando que se le tuviera por personado y parte en nombre del Gobierno y que se dictase en su día Sentencia estimatoria de la cuestión, declarando inconstitucionales y nulos los arts. 51.1.2 e) y 69.2.a.2, y 71.3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10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 La presente cuestión de inconstitucionalidad es idéntica a la núm. 8450-2005 resuelta recientemente por este Tribunal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9513-2005,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