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 de enero de 2006, al que se acompaña el correspondiente Auto de 16 de noviembre de 2005, el Juzgado de lo Contencioso- 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 administrativo (tramitado con el núm. 284/2002) interpuesto por la mercantil Promociones y Construcciones Suarez y Arteaga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26 de marzo de 2003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día 4 de abril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10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