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95</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 de enero de 2006, al que se acompaña el correspondiente Auto de 18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690-2000) interpuesto por la mercantil Gestecop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10 de septiembre de 2001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24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Segunda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20 de abril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24 de abril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Senado, mediante escrito registrado el día 26 de abril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el Tribunal el día 26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27 de abril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8 de mayo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8-2006,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