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5 de enero de 2006, al que se acompaña el correspondiente Auto de 14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207-2002) interpuesto por la mercantil A.S.C. Obras Urbanas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3 de enero de 2003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día 4 de abril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10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123-2006,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