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5 de enero de 2006,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258-2000) interpuesto por la mercantil Construcciones Pérez Zafrilla SA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7 de mayo de 2001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17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24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26 de abril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26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8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124-2006,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