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22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483-1999) interpuesto por la mercantil Finestrat Urbana SL contra la resolución del Ayuntamiento de Albacete por la que se requiere a la empresa al pago del importe económico representativo del 10 por 100 del aprovechamiento urbanístico que debe ceder para que le sea concedida licencia de obra de nueva planta. Conclusas las actuaciones se dictó Auto de 7 de abril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26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368-2006,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