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114</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16 de enero de 2006, al que se acompaña el correspondiente Auto de 14 de noviembre de 2005, el Juzgado de lo Contencioso-Administrativo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87-2001) interpuesto por la mercantil Coyvial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8 de abril de 2002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14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10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letras d) y e); art. 69, apartado 2 y art. 71.3 en cuanto resulta relacionado con el 69, todos ellos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marzo de 2006 (BOE de 30 de marzo), la Sección Segunda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Senado, mediante escrito registrado el día 30 de marzo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31 de marzo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presentó su escrito de alegaciones el día 4 de abril de 2006, solicitando que se le tuviera por personado y parte en nombre del Gobierno y que se dictase en su día Sentencia estimatoria de la cuestión, declarando inconstitucionales y nulos los arts. 51.1.2 e) y 69.2.a.2, y 71.3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5 de abril de 2006 el Fiscal General del Estado formuló sus alegaciones interesando de este Tribunal Constitucional la estimación de la cuestión de inconstitucionalidad por entender que era idéntica a la 8450-2005, dando por reproducidos los fundamentos expuestos en aquella.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10 de abril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escrito registrado en el Tribunal el día 12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 La presente cuestión de inconstitucionalidad es idéntica a la núm. 8450-2005 resuelta recientemente por este Tribunal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w:t>
      </w:r>
    </w:p>
    <w:p w:rsidRPr="00C21FFE" w:rsidR="00AD51A7" w:rsidRDefault="008777C4">
      <w:pPr>
        <w:rPr/>
      </w:pPr>
      <w:r w:rsidRPr="&lt;w:rPr xmlns:w=&quot;http://schemas.openxmlformats.org/wordprocessingml/2006/main&quot;&gt;&lt;w:lang w:val=&quot;es-ES_tradnl&quot; /&gt;&lt;/w:rPr&gt;">
        <w:rPr/>
        <w:t xml:space="preserve">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374-2006,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