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676-2000) interpuesto por don Amado Hernández Esparcia contra la desestimación del recurso de reposición planteado en relación con la Resolución del Ayuntamiento de Hellín (Albacete) por la que se le requiere al pago del importe económico representativo del 10 por 100 del aprovechamiento urbanístico que debe ceder para que le sea concedida licencia de obra de nueva planta. Conclusas las actuaciones se dictó Auto de 23 de marzo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las Cortes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25 de abril de 2006, solicitando que se le tuviera por personado y parte en nombre del Gobierno y que se dictase en su día Sentencia estimatoria de la cuestión, declarando inconstitucionales y nulos los arts. 51.1.2 e) y 69.2.a.2 de la Ley de las Cortes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