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23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128-2001) interpuesto por la Unión Temporal de Empresas Construcciones Pérez Zafrilla, S.A., y Atrio Albacete, S.L, contra la desestimación del recurso de reposición planteado en relación con la Resolución del Ayuntamiento de Albacete por la que se requiere a ambas empresas al pago del importe económico representativo del 10 por 100 del aprovechamiento urbanístico que la empresa debe ceder para que le sea concedida licencia de obra de nueva planta. Conclusas las actuaciones se dictó Auto de 11 de abril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las Cortes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10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día 10 de mayo de 2006, solicitando que se le tuviera por personado y parte en nombre del Gobierno y que se dictase en su día Sentencia estimatoria de la cuestión, declarando inconstitucionales y nulos los arts. 51.1.2 e) y 69.2.a.2 de la Ley de las Cortes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12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22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25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602-2006,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