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enero de 2006, al que se acompaña el correspondiente Auto de 25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115-2000) interpuesto por la entidad mercantil Instituto de Construcciones y Edificaciones,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 de mayo de 2001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Senado, mediante escrito registrado el día 10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su escrito de alegaciones el día 10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12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22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25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761-2006,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