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enero de 2006, al que se acompaña el correspondiente Auto de 18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444-2000) interpuesto por la mercantil Construcciones Martínez y Argandeña SAL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19 de octubre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9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10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12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22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25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763-2006,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