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enero de 2006, al que se acompaña el correspondiente Auto de 14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219-2003) interpuesto por la mercantil Promociones Bizmancha 2005,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6 de mayo de 2004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las Cortes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el plazo de quince días pudieran personarse en el proceso y formular alegaciones. 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31 de marzo de 2006, solicitando que se le tuviera por personado y parte en nombre del Gobierno y que se dictase en su día Sentencia estimatoria de la cuestión, declarando inconstitucionales y nulos los arts. 51.1.2 e) y 69.2.a.2, y 71.3 de la Ley de las Cortes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767-2006,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