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14 de noviembre de 2005,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237-2003) interpuesto por la mercantil Urbana y Desarrollos Alfaro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14 de mayo de 2004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letras d) y e); art. 69, apartado 2 y art. 71.3 en cuanto resulta relacionado con el 69, todos ellos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marzo de 2006 (BOE de 30 de marzo),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30 de marzo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30de marzo de 2006, solicitando que se le tuviera por personado y parte en nombre del Gobierno y que se dictase en su día Sentencia estimatoria de la cuestión, declarando inconstitucionales y nulos los arts. 51.1.2 e) y 69.2.a.2, y 71.3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31 de marzo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5 de abril de 2006 el Fiscal General del Estado formuló sus alegaciones interesando de este Tribunal Constitucional la estimación de la cuestión de inconstitucionalidad por entender que era idéntica a la 8450-2005, dando por reproducidos los fundamentos expuestos en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12 de abril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el Tribunal el día 12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d) y e), 69.2 y 71.3 de la Ley de las Cortes de Castilla-La Mancha 2/1998, de 4 de junio, de ordenación del territorio y de la actuación urbanística, por posible vulneración del art. 149.1.1 CE. La presente cuestión de inconstitucionalidad es idéntica a la núm. 8450-2005 resuelta recientemente por este Tribunal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