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27 de enero de 2006, al que se acompaña el correspondiente Auto de 12 de diciembre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195/2004) interpuesto por la entidad mercantil Hermanos López Lucas, SA, contra la desestimación del recurso de reposición planteado en relación con la resolución del Ayuntamiento de Hellín (Albacete) por la que se requiere al pago del importe económico representativo del 10 por 100 del aprovechamiento urbanístico que la empresa debe ceder para que le sea concedida licencia de obra de nueva planta. Por providencia de 5 de mayo de 2004 quedaban en suspenso las actuaciones en cuanto al plazo establecido para dictar Sentencia hasta tanto no se resolviera el recurso de inconstitucionalidad núm. 3958/98,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artículos 51 apartado 1.2 e) y 69 apartado 2 de la Ley de Castilla-La Mancha 2/1998, de 4 de junio, de ordenación del territorio y de la actuación urbanística, por posible vulneración del artículo 149.1.1 CE en relación con el artículo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Primera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12 de mayo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17 de mayo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23 de mayo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24 de mayo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en el Tribunal el día 29 de mayo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 de junio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artículo 71.3, en cuanto se conecte con los apartados a) 2 y 3 del artículo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829-2006,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