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151</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1 de febrero de 2006, al que se acompaña el correspondiente Auto de 16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284/2003) interpuesto por la mercantil Promociones y Construcciones Facabo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26 de marzo de 2004 en virtud del cual quedaban en suspenso en cuanto al plazo establecido para dictar Sentencia hasta tanto no se resolviera el recurso de inconstitucionalidad núm. 3958/98,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10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artículos 51 apartado 1.2 e) y 69 apartado 2 de la Ley de Castilla-La Mancha 2/1998, de 4 de junio, de ordenación del territorio y de la actuación urbanística, por posible vulneración del artículo 149.1.1 CE en relación con el artículo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Segunda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16 de mayo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17 de mayo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23 de mayo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24 de mayo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el Tribunal el día 29 de mayo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1 de junio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artículo 71.3, en cuanto se conecte con los apartados a) 2 y 3 del artículo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w:t>
      </w:r>
    </w:p>
    <w:p w:rsidRPr="00C21FFE" w:rsidR="00AD51A7" w:rsidRDefault="008777C4">
      <w:pPr>
        <w:rPr/>
      </w:pPr>
      <w:r w:rsidRPr="&lt;w:rPr xmlns:w=&quot;http://schemas.openxmlformats.org/wordprocessingml/2006/main&quot;&gt;&lt;w:lang w:val=&quot;es-ES_tradnl&quot; /&gt;&lt;/w:rPr&gt;">
        <w:rPr/>
        <w:t xml:space="preserve">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947-2006,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