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 de febrero de 2006, al que se acompaña el correspondiente Auto de 16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695/2000) interpuesto por A.S.C. Obras Urbanas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20 de noviembre de 2001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letras d) y e); artículo 69, apartado 2 y artículo 71.3 en cuanto resulta relacionado con el 69, todos ellos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el plazo de quince días pudieran personarse en el proceso y formular alegaciones. 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29 de marzo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discutidos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afectados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949-2006,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