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 de febrero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9/2003) interpuesto por la mercantil Edificio Calderón II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15 de mayo de 2003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Tercera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17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954-2006,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