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8 de febrero de 2006, al que se acompaña el correspondiente Auto de 14 de noviembre de 2005,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108/2002) interpuesto por la mercantil Promociones y Construcciones Jocopa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1 de julio de 2002 en virtud del cual quedaban en suspenso en cuanto al plazo establecido para dictar Sentencia hasta tanto no se resolviera el recurso de inconstitucionalidad núm. 3958/98,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artículos 51 apartado 1.2, letras d) y e); artículo 69, apartado 2 y artículo 71.3 en cuanto resulta relacionado con el 69, todos ellos de la Ley de Castilla-La Mancha 2/1998 de 4 de junio, de ordenación del territorio y de la actuación urbanística, por posible vulneración del artículo 149.1.1 CE en relación con el artículo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(BOE de 30 de marzo), la Sección Tercera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28 de marzo de 2006, solicitando que se le tuviera por personado y parte en nombre del Gobierno y que se dictase en su día Sentencia estimatoria de la cuestión, declarando inconstitucionales y nulos los arts. 51.1.2 e) y 69.2.a.2, y 71.3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30 de marzo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31 de marzo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5 de abril de 2006 el Fiscal General del Estado formuló sus alegaciones interesando de este Tribunal Constitucional la estimación de la cuestión de inconstitucionalidad por entender que era idéntica a la 8450/2005, dando por reproducidos los fundamentos expuestos en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12 de abril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el Tribunal el día 12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 La presente cuestión de inconstitucionalidad es idéntica a la núm. 8450/2005 resuelta recientemente por este Tribunal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artículo 71.3, en cuanto se conecte con los apartados a) 2 y 3 del artículo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1191-2006,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