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164</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8 de febrero de 2006, al que se acompaña el correspondiente Auto de 14 de noviembre de 2005,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360/2002) interpuesto por la mercantil Maver 2000 SL contra la desestimación del recurso de reposición planteado en relación con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Auto de 2 de septiembre de 2003 en virtud del cual quedaban en suspenso en cuanto al plazo establecido para dictar Sentencia hasta tanto no se resolviera el recurso de inconstitucionalidad núm. 3958/98, interpuesto por la Abogacía del Estado contra determinados preceptos de la Ley de las Cortes de Castilla-La Mancha 2/1998. Mediante providencia de 14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17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artículos 51 apartado 1.2 e) y 69 apartado 2 de la Ley de Castilla-La Mancha 2/1998, de 4 de junio, de ordenación del territorio y de la actuación urbanística, por posible vulneración del artículo 149.1.1 CE en relación con el artículo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marzo de 2006 (BOE de 8 de abril), la Sección Cuarta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día 17 de mayo de 2006, solicitando que se le tuviera por personado y parte en nombre del Gobierno y que se dictase en su día Sentencia estimatoria de la cuestión, declarando inconstitucionales y nulos los arts. 51.1.2 e) y 69.2.a.2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Senado, mediante escrito registrado el día 17 de mayo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23 de mayo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24 de mayo de 2006 el Fiscal General del Estado formuló sus alegaciones interesando de este Tribunal Constitucional la estimación de la cuestión de inconstitucionalidad por entender que era idéntica a la 8450/2005, dando por reproducidos los fundamentos expuestos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registrado en el Tribunal el día 29 de mayo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1 de junio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 La presente cuestión de inconstitucionalidad, una vez examinada, debe reputarse resuelta por la doctrina que este Tribunal ha establecido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artículo 71.3, en cuanto se conecte con los apartados a) 2 y 3 del artículo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w:t>
      </w:r>
    </w:p>
    <w:p w:rsidRPr="00C21FFE" w:rsidR="00AD51A7" w:rsidRDefault="008777C4">
      <w:pPr>
        <w:rPr/>
      </w:pPr>
      <w:r w:rsidRPr="&lt;w:rPr xmlns:w=&quot;http://schemas.openxmlformats.org/wordprocessingml/2006/main&quot;&gt;&lt;w:lang w:val=&quot;es-ES_tradnl&quot; /&gt;&lt;/w:rPr&gt;">
        <w:rPr/>
        <w:t xml:space="preserve">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1195-2006,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