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259/2000) interpuesto por la mercantil Atrio Albacete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7 de mayo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