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16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363-2003) interpuesto por la mercantil “Promolosa,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19 de mayo de 2004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las Cortes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28 de marzo de 2006, solicitando que se le tuviera por personado y parte en nombre del Gobierno y que se dictase en su día Sentencia estimatoria de la cuestión, declarando inconstitucionales y nulos los arts. 51.1.2 d) y e) y 69.2.a.2, y 71.3 de la Ley de las Cortes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1199-2006,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