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7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de diciembre de 2004 la Procuradora de los Tribunales doña Virginia Lobo Ruiz, en nombre y representación de doña Margaret Hurley, interpuso recurso de amparo contra el Auto del Juzgado de Instrucción núm. 1 de Marbella (antiguo mixto núm. 1) de 9 de octubre de 2004, por el que se desestimaba la petición de nulidad de actuaciones promovida por la recurrente en el procedimiento de ejecución de títulos judiciales núm. 656-2002.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13 de julio de 2001 la presidenta de la Asociación de propietarios de la Urbanización Río Verde, sita en la localidad de Marbella, presentó demanda de juicio verbal contra doña Margaret Hurley, como propietaria del chalet núm. 10, por la que se le reclamaba el pago de ciertas cuotas no abonadas, incoando el entonces Juzgado de Primera Instancia e Instrucción núm. 1 de Marbella juicio verbal 273-2001, que concluyó por Sentencia de 23 de junio de 2002, en cuya virtud se estimaba la demanda planteada y se reconocía la deuda a favor de la referida Asociación. Promovido el correspondiente proceso de ejecución, se acordó el embargo del inmueble de la demandante (“Finca inscrita en el Registro de la Propiedad núm. 3 de Marbella al Tomo 1495, libro 469, Folio 185, Finca Registral núm. 1870, Sección 3-32562”), procediéndose finalmente a su subasta y adjudicación. Así, por Auto de 18 de junio de 2004 el Juzgado aprueba el remate de la mencionada finca a favor de la entidad “Sierra de Andalucía Inversiones, S.L.”. Teniendo noticia extraprocesal de la tramitación del proceso, la recurrente presentó con fecha 30 de junio de 2004 incidente de nulidad de actuaciones, interesando la retroacción de los autos al momento de la notificación de la demanda al no haber tenido conocimiento de su tramitación, que fue inadmitido por el órgano judicial por Auto de 9 de noviembre de 2004, ahora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entiende en su demanda que la actuación del Juzgado le ha vulnerado sus derechos a la tutela judicial efectiva y a la defensa (art. 24.1 y 2 CE), como consecuencia de la defectuosa realización de los actos de comunicación procesal practicados por el órgano judicial en el mencionado juicio verbal y posterior proceso de ejecución, que ha dado lugar a la adjudicación a una entidad mercantil de su vivienda sin que pudiera comparecer en dicho proceso y así defender sus derechos e intereses.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la demandante de amparo solicitó que se acordase la suspensión de la resolución judicial impugnada, afirmando que la ejecución de la misma podría hacer perder al amparo su finalidad. Como efectos de esta medida, se interesaba que no se procediera a la inscripción de la propiedad a nombre de la sociedad adjudicataria, prohibiéndosele que pueda transmitir a un tercero el referido inmueble, no haciéndosele además entrega de su posesión.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6 de julio de 2006 de la Secretaría de Justicia de este Tribunal se acordó dirigir comunicación al Juzgado de Instrucción núm. 1 de Marbella a fin de que se remitiera a este Tribunal certificación o copia adverada de las actuaciones. Recibidas éstas, por providencia de 20 de marzo de 2007 de la Sala Segunda de este Tribunal se acordó la admisión a trámite del recurso de amparo, ordenándose también que se formase la oportuna pieza separada de suspensión, concediéndose por providencia de igual fecha un plazo común de tres días al Ministerio Fiscal y a la parte recurrente para que alegaran lo que estimasen pertinente en relación con la petición de suspensión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doña Margaret Hurley evacuó el trámite de alegaciones conferido por escrito registrado en este Tribunal con fecha 2 de abril de 2007 ratificando las manifestaciones ya vertidas sobre esta cuestión en su escrito de demanda, resaltando la conveniencia de que se prohíba a la entidad adjudicataria enajenar la vivienda subastada mientras dura la tramitación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presentó sus alegaciones con fecha 3 de abril de 2007, adhiriéndose a dicha pretensión de suspensión. En su escrito pone de relieve que el objeto de la solicitud de la demandante es que no se entregue y se dé posesión del chalet de su propiedad a la “Sociedad Patrimonial Sierra de Andalucía Inversiones, S.L.”, que obtuvo la adjudicación del inmueble de referencia. No obstante, de no acordarse la suspensión de la ejecución de la resolución impugnada, el inmueble sería puesto en la inmediata posesión de un tercero que está protegido por la cobertura especial que le brinda el art. 34 de la ley Hipotecaría, lo que le convertiría en un tercero con una situación de propiedad irreivindicable. Por ello, se propugna la misma solución adoptada por este Tribunal en el ATC 99/1998 (no entrega de la posesión al adjudicatario), acordando la suspensión de la ejecución de la resolución impugnada, si bien condicionando la misma a la previa prestación de una fianza por parte de la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pudiéndose también denegar dicha suspensión cuando de esta pueda seguirse perturbación grave de los intereses generales o de los derechos fundamentales o libertades públicas de un tercero. En la interpretación de este precepto, hemos venido sosteniendo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intereses (Así, ATC 487/2004, de 30 de noviembre). Consecuentemente la regla general debe ser la improcedencia de al suspensión, que se configura así como una medida provisional de carácter excepcional y de aplicación restrictiva (AATC 78/2001, de 2 de abril y 83/2001, de 23 de abril, entre otros), resultando pertinente sólo la adopción de esta medida cautelar cuando la ejecución del fallo cause al solicitante de amparo un perjuicio irreparable en los derechos fundamentales invocados en el proceso constitucional (En este sentido, AATC 243/2000, de 16 de octubre y 251/2000, de 30 de octubre).</w:t>
      </w:r>
    </w:p>
    <w:p w:rsidRPr="00C21FFE" w:rsidR="00AD51A7" w:rsidRDefault="008777C4">
      <w:pPr>
        <w:rPr/>
      </w:pPr>
      <w:r w:rsidRPr="&lt;w:rPr xmlns:w=&quot;http://schemas.openxmlformats.org/wordprocessingml/2006/main&quot;&gt;&lt;w:lang w:val=&quot;es-ES_tradnl&quot; /&gt;&lt;/w:rPr&gt;">
        <w:rPr/>
        <w:t xml:space="preserve">Desde esta perspectiva, también hemos afirmado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211/2004, de 2 de junio; 97/2006, de 27 de marzo).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(ATC 99/1998, de 20 de abril,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ha expuesto en los antecedentes de la presente resolución, la demandante de amparo refiere la indefensión que ha sufrido como consecuencia de la defectuosa realización de los actos de comunicación procesal practicados por el órgano judicial en un juicio verbal y posterior proceso de ejecución, que dio lugar el embargo, subasta y adjudicación de una vivienda de su propiedad. Si no se adoptase una medida cautelar en estas circunstancias se podría materializar la transmisión del dominio del inmueble en cuestión por parte del adjudicatario del mismo, creando una situación difícilmente reversible que menoscabaría los fines del presente recurso, en atención a la protección del tercero de buena fe que se prevé en el art. 34 de la ley Hipotecaria. No obstante, no es posible acceder a la pretensión de la demandante de que no se proceda a la inscripción de la propiedad en el Registro a nombre de la entidad adjudicataria, prohibiéndosele que disponga del inmueble y lo transmita a un tercero, y que no se le haga entrega de la posesión del referido bien, petición que avala el Fiscal ante el Tribunal en su escrito de alegaciones en la pieza de suspensión (cita en su apoyo el ATC 99/1998, de 20 de abril), porque, como consta en el testimonio de las actuaciones recibidas en este Tribunal, tal inscripción del derecho del actual titular ya se ha practicado con anterioridad, habiéndose además hecho entrega de la posesión del bien al adjudicatario de la subasta (como consta en la diligencia de lanzamiento de 20 de diciembre de 2004, unida a los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Pese a lo anterior, este Tribunal sí esta facultado para acordar, guiado por la misma finalidad que mueve a las partes en este proceso constitucional, la anotación preventiva de la demanda de amparo en el Registro de la Propiedad, a fin de garantizar los derechos de la demandante de amparo frente a eventuales actos de disposición. Dado que el art. 56 LOTC faculta al Tribunal Constitucional para acordar como medida cautelar la suspensión de la ejecución del acto o resolución recurrida en amparo, con mayor razón estará permitido a este Tribunal que acuerde una medida cautelar como la anotación preventiva de la demanda de amparo, que no exige ni presupone la suspensión de la efectividad de la resolución recurrida y, simplemente, anuncia registralmente frente a terceros la pendencia del proceso constitucional con sus eventuales consecuencias sobre los derechos inscritos. Se trata de una medida cautelar que este Tribunal, de conformidad con el art. 56.1 LOTC, puede, además, adoptar de oficio o a instancia de parte, con fundamento en el art. 42.1 de la ley Hipotecaria (AATC 274/2002, de 18 de diciembre; 257/2003, de 14 de julio), limitándose nuestra decisión en esta materia, según también ha reiterado este Tribunal Constitucional, a ordenar que se practique la anotación preventiva, remitiendo al órgano judicial la práctica de las actuaciones pertinentes para que pueda llevarse a efecto la medida, de conformidad con la legislación procesal e hipotecaria (AATC 257/2003, de 14 de julio y 406/2003, de 15 de diciembre,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Ordenar la anotación preventiva de la demanda de amparo en el Registro de la Propiedad, a cuyo efecto el Juzgado de Instrucción núm. 1 de Marbella ha de expedir el mandamiento oportuno, para que pueda practicarse la misma en relación con la vivienda a</w:t>
      </w:r>
    </w:p>
    <w:p w:rsidRPr="" w:rsidR="00AD51A7" w:rsidRDefault="008777C4">
      <w:pPr>
        <w:rPr/>
      </w:pPr>
      <w:r w:rsidRPr="&lt;w:rPr xmlns:w=&quot;http://schemas.openxmlformats.org/wordprocessingml/2006/main&quot;&gt;&lt;w:szCs w:val=&quot;24&quot; /&gt;&lt;/w:rPr&gt;">
        <w:rPr/>
        <w:t xml:space="preserve">que se refiere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