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11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en su sesión del día de hoy, y advertido error en su Sentencia de ayer, día 10 de mayo, dictada en el proceso al margen referenciado, acuerda realizar la presente aclaración en el sentido de que no forma parte de la Sentencia el siguiente párrafo del fundamento jurídico 6:</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La disolución y hasta la suspensión de dicho partido en razón de esa sola circunstancia hubiera planteado quizás el problema de si cabría entenderla manifiestamente desproporcionada, aun cuando no pueda descartarse que, en unión de otras, pudiera llevar en su momento a esa última consecuencia. En cualquier caso, es evidente que el hecho de que esa solución radical se estimase hoy impracticable por quienes pudieran instarla o decidirla, no implica que no fuera obligado arbitrar otras, toda vez que la actividad defraudatoria intentada habría producido, de perfeccionarse, consecuencias de muy difícil reparación, pues la eventual disolución posterior del partido ahora legal no afectaría al mandato representativo de aquellos de sus candidatos que resultaran elegidos.”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En consecuencia, se dicta el presente Auto de aclaración.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