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18 de marzo de 2003, al que se acompaña el correspondiente Auto de 28 de febrero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(1034/2002) interpuesta por doña Manuela Carrasco Trujillo y dos más contra la empresa Enaco, SA. Conclusas las actuaciones, el Juez de lo Social dicta providencia de 12 de febrero de 2003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procedente el planteamiento de la cuestión, mientras que la entidad mercantil demandada lo hizo en el sentido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 los trabajadores, mientras que en el caso de que optara por indemnizarles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 los trabajadores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29 de abril de 2003 (BOE de 17 de mayo) la Sección Cuarta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mayo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19 de mayo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Senado, mediante escrito registrado el día 23 de mayo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23 de mayo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escrito registrado en este Tribunal el día 2 de junio de 2003 el Juzgado de lo Social núm. 2 de Badajoz remitió testimonio de la Sentencia dictada el 16 de mayo de 2003 en cuya parte dispositiva se declara resuelta en dicha fecha la relación laboral entre las partes y se condena a la demandada a mantener en alta durante el período de tramitación a los trabajadores, indemnizándoles en la suma que en el fallo se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Por providencia de 15 de julio de 2003 la Sección Cuarta acordó oír al Ministerio Fiscal y al Abogado del Estado para que, en plazo de diez días, pudieran alegar lo que estimaran conveniente en relación con la incidencia que, en la pérdida de objeto de la presente cuestión de inconstitucionalidad, pudiera tener la Sentencia dictada en el procedimiento de despido en que aquélla se planteó.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escrito registrado el 22 de julio de 2003 el Abogado del Estado presentó sus alegaciones en el sentido de considerar que, al no constar la firmeza de la Sentencia referida, de confirmarse esta falta de firmeza no debería procederse al archivo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Fiscal General del Estado evacuó el trámite conferido mediante escrito registrado el 28 de julio de 2003, en el que estimó concurrente la pérdida de objeto consultada.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Mediante escrito registrado el 1 de junio de 2004, el Juzgado de lo Social núm. 2 de Badajoz remitió testimonio de la Sentencia de suplicación dictada el 9 de septiembre de 2003 por la Sala de lo Social del Tribunal Superior de Justicia de Extremadura, que decretaba la nulidad de la Sentencia del Juzgado de lo Social de 16 de mayo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Por providencia de 2 de febrero de 2005 la Sección Tercera acordó hacer entrega al Ministerio Fiscal y al Abogado del Estado de copia de la Sentencia dictada por la Sala de lo Social del Tribunal Superior de Justicia de Extremadura, a fin de que, en plazo de diez días, completaran las alegaciones formuladas en virtud del traslado conferido por providencia de 15 de julio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Mediante escrito registrado el 11 de febrero de 2005 el Abogado del Estado formuló sus observaciones en el sentido de estimar subsistente el objeto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Mediante escrito registrado el 17 de febrero de 2005 el Fiscal General del Estado señaló igualmente que había que entender no concurrente la pérdida sobrevenida de objeto de la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1553-2003,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