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11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febrero de 2007, el Procurador de los Tribunales don José Javier Cuevas Rivas, interpuso, en nombre de don José Cándido Zubikarai Badiola, recurso de amparo contra el Auto de fecha 11 de enero de 2007, dictado por la Sección Segunda de la Sala de lo Penal de la Audiencia Nacional, dictado en la Ejecutoria núm 20-1992, Sumario núm. 17-1989, procedente del Juzgado Central de Instrucción núm. 2, por conculcar los derechos a la igualdad (art. 14 CE), a la libertad personal (art. 17 CE), a la tutela judicial efectiva (art. 24.1 CE), a un proceso con todas las garantías (art. 24.2 CE) y al principio de legalidad, en el sentido de que las penas privativas de libertad y medidas de seguridad estarán orientadas hacia la reeducación y reinserción social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1 de septiembre de 2006 la Sección Segunda de la Audiencia Nacional dictó una providencia en la que denegaba la propuesta de licenciamiento definitivo del ahora demandante de amparo realizada para el día 26 de octubre de 2006, estableciendo la fecha de cumplimiento definitivo la del 25 de octubre de 2011, todo ello conforme a la doctrina de la STS 197/2006, de 28 de febrero. </w:t>
      </w:r>
    </w:p>
    <w:p w:rsidRPr="00C21FFE" w:rsidR="00AD51A7" w:rsidRDefault="008777C4">
      <w:pPr>
        <w:rPr/>
      </w:pPr>
      <w:r w:rsidRPr="&lt;w:rPr xmlns:w=&quot;http://schemas.openxmlformats.org/wordprocessingml/2006/main&quot;&gt;&lt;w:lang w:val=&quot;es-ES_tradnl&quot; /&gt;&lt;/w:rPr&gt;">
        <w:rPr/>
        <w:t xml:space="preserve">b) Mediante providencia de 16 de noviembre de 2006, dictada en la misma causa, se responde a la solicitud de libertad del demandante de amparo, acordando estar a lo decidido en la providencia anterior de fecha 1 de septiembre de 2006. </w:t>
      </w:r>
    </w:p>
    <w:p w:rsidRPr="00C21FFE" w:rsidR="00AD51A7" w:rsidRDefault="008777C4">
      <w:pPr>
        <w:rPr/>
      </w:pPr>
      <w:r w:rsidRPr="&lt;w:rPr xmlns:w=&quot;http://schemas.openxmlformats.org/wordprocessingml/2006/main&quot;&gt;&lt;w:lang w:val=&quot;es-ES_tradnl&quot; /&gt;&lt;/w:rPr&gt;">
        <w:rPr/>
        <w:t xml:space="preserve">c) Interpuesto recurso de súplica contar la providencia anterior, fue desestimada mediante Auto de fecha 11 de enero de 2007. </w:t>
      </w:r>
    </w:p>
    <w:p w:rsidRPr="00C21FFE" w:rsidR="00AD51A7" w:rsidRDefault="008777C4">
      <w:pPr>
        <w:rPr/>
      </w:pPr>
      <w:r w:rsidRPr="&lt;w:rPr xmlns:w=&quot;http://schemas.openxmlformats.org/wordprocessingml/2006/main&quot;&gt;&lt;w:lang w:val=&quot;es-ES_tradnl&quot; /&gt;&lt;/w:rPr&gt;">
        <w:rPr/>
        <w:t xml:space="preserve">El Auto sostiene que aunque la doctrina reflejada en la Sentencia del Tribunal Supremo aplicada supone una modificación de la interpretación jurisprudencial del art. 70.2 CP 1973, debe destacarse que tal cambio jurisprudencial, al estar suficientemente motivado, no infringe el principio de igualdad del art. 14 CE y no es aplicable a la jurisprudencia la prohibición de retroactividad que el art. 25.1 CE reserva a la legislación y el art. 9 CE a las disposiciones sancionadoras no favorables o restrictivas de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en primer lugar la violación del derecho a la tutela judicial efectiva (art. 24.1 CE) y a un proceso con todas las garantías (art.24.2 CE), así como el derecho a un recurso efectivo (art. 14.5 PIDCP), todo ello en relación con el art. 17 CE. Con cita de las SSTC 123/2005 y 11/1987, se denuncia que la Audiencia Nacional acordó la aplicación de la nueva doctrina del Tribunal Supremo mediante providencia de fecha 16 de noviembre de 2006, en que denegó la solicitud de libertad realizada por el demandante de amparo en su escrito de fecha 24 de octubre de 2006, y en tales resoluciones judiciales hay elementos a las cuales el demandante no pudo defenderse y someter a contradicción. Dentro de este primer motivo, se denuncia también la vulneración del derecho de defensa y del derecho al recurso, con cita del art. 14.5 PIDCP, vulneración esta que se imputa al Auto de 11 de enero de 2007. Sostiene el recurrente que, al resolver el recurso de súplica, la Audiencia Nacional no entra en el fondo del objeto del debate, afirmando que no puede recurrir la providencia por tratarse de un mera ejecución de la referida Sentencia del Tribunal Supremo, cuando esta Sentencia sería firme y ejecutable para el recurrente en aquel procedimiento (Sr. Parot), pero no para el Sr. Zubikarai Badiola. Con ello se vulnera el derecho a la segunda instancia penal y a un recurso efectivo, ya que no se pudo recurrir la providencia en cuestión. En segundo lugar aduce la violación del principio de legalidad (art. 25.1 y 25.2 CE), denunciando que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También se queja de la vulneración del derecho a la tutela judicial efectiva (art.24.I CE), en relación con el derecho a la libertad (art. 17 CE), en cuanto la nueva interpretación del cómputo de las redenciones sobre la totalidad de la condena le genera indefensión e inseguridad jurídica, puesto que con las redenciones aprobadas por los Juzgados de Vigilancia penitenciaria, intangibles y firmes, aplicadas —como se venía haciendo— al tope de 30 años, el recurrente habría cumplido ya su condena y podría haber obtenido el licenciamiento definitivo el 26 de octubre de 2006. La siguiente queja tiene que ver con la vulneración el principio de legalidad (art. 25.1 y 9.3 CE), por aplicación retroactiva de ley desfavorable. Asimismo plantea el demandante la supuesta violación del derecho a la igualdad en la aplicación de la ley (art. 14 CE), denunciando al efecto el injustificado y arbitrario cambio de criterio a raíz de la STS 197/2006 que rompe con toda la jurisprudencia anterior al respecto. En este mismo motivo se alega la vulneración del principio de igualdad en esta misma ejecutoria, en la que, tratándose de igual condena por los mismos hechos, se ha dado un trato distinto y discriminatorio al demandante en relación a otro coimputado. El derecho a la libertad (art. 17.1 CE) se considera vulnerado en el siguiente motivo de la demanda, en el que afirma el demandante que el mencionado cambio de criterio jurisprudencial contra reo modifica la expectativa de libertad del demadante, implicando un alargamiento de su estancia en prisión, sin base legal ni reglamentaria y en contra de la práctica habitual y pacífica. Finalmente, se queja de la violación del art. 25.2 CE, en relación con las reglas mínimas para tratamiento de los reclusos y el art. 10.3 PIDCP, destacando que, de conformidad con el art. 25.2 CE,las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45 años (conforme a los cálculos realizados por el propio Tribunal Supremo), vulnera los principios inspiradores de las normas que consagran estas instituciones y el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ante el Registro General de este Tribunal Constitucional el día 26 de marzo de 2007, el demandante solicitó la suspensión de la ejecución de la condena al considerar que no será una perturbación grave de los intereses generales habida cuenta que llevan 18 años de prisión material, habiendo cumplido otros 12 años de prisión efectiva mediante las redenciones por el trabajo y que el hecho de otorgarse el amparo sin suspensión de la condena, aquél perdería su finalidad pues ya habría cumplido la pena en su totalidad. Además, alega que en la misma ejecutoria, por los mismos hechos y con la misma condena ya existen otras personas en libertad por cumplimiento del tiempo máximo de condena, al no habérseles aplicado la mencionada sentencia del Tribunal Supremo de 28 de febrero de 2006. Además tampoco se daría una perturbación grave de los derechos fundamentales o libertades públicas de un tercero por no existir estos en el procedimiento objeto del recurso de amparo, ni en calidad de acusación particular ni de acusación popular y por existir condena firme por estos hechos de otra persona que ha cumplido la condena correspondiente y se encuentra en libertad. Finalmente considera que se dan las causas para la suspensión de la ejecución de la condena al considerar que ésta ocasiona un perjuicio que haría perder al amparo su finalidad, ya que se encuentra en prisión cumpliendo una condena más allá del límite máximo establecido en el artículo 70.2 CP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25 de mayo de 2007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ante este Tribunal el 20 de junio de 2007 el Ministerio Fiscal interesó la denegación de la suspensión solicitada de la pena privativa de libertad. Alega el Fiscal que el recurrente se encuentra en situación de prisión por ejecución de condena, y recurre en amparo contra la lesión que atribuye al Auto de 11 de enero de 2007, que desestima el recurso de súplica interpuesto por el mismo contra providencia de fecha 16 de noviembre de 2006, que acuerda como fecha de cumplimiento definitivo de su condena la de 25 de octubre de 2011, frente a la petición formulada por el interno en escrito de fecha 24 de octubre de 2006 de que se le pusiera en libertad por cumplimiento efectivo de la condena en fecha 26 de octubre de 2006. Amén de la gravedad y naturaleza de los hechos enjuiciados, el bien jurídico afectado, su trascendencia social, el riesgo de eludir la acción de la justicia y la posible desprotección de las víctimas, especialmente la gravedad de la pena impuesta, esto es, dos condenas de veintisiete años y ocho meses, acumuladas y refundidas en una condena de treinta años, expresa con suficiente rotundidad la magnitud e intensidad del interés general en su ejecución. Asimismo, la aplicación de la específica doctrina constitucional reseñada y multitud de pronunciamientos ante el Tribunal que repiten que la suspensión debe ser descartada cuando la concesión de la misma equivale al otorgamiento anticipado del amparo, conlleva la necesidad de que se deniegue la suspensión pues, desde la perspectiva de este proceso constitucional, suspender su ejecución implicaría anticipar de hecho los eventuales efectos del otorgamiento del amparo extramuros de la finalidad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demandante de amparo formuló alegaciones mediante escrito de fecha 20 de junio de 2007 en las que ratificó las alegaciones efectuadas en su escrito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pues el art. 56 LOTC responde a la necesidad de mantener un equilibrio entre los intereses del recurrente, los generales de la sociedad y los derechos de terceros (ATC 369/2005). En consecuencia, es necesario conciliar el interés en la ejecución de las resoluciones judiciales y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AATC 164/2002, 9/2003, 369/2005).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que presenta perfiles diferenciadores frente a los incidentes de suspensión comúnmente resueltos, las resoluciones judiciales recurridas no son aquellas que impusieron las penas privativas de libertad, sino las que rechazan la propuesta de licenciamiento definitivo realizada por el centro penitenciario para el día 26 de octubre de 2006, ordenando la elaboración de una nueva hoja de cálculo conforme a la doctrina de la STS 197/2006, de 28 de febrero, lo que determina que la pena no se extinguiría hasta el 25 de octubre de 2011. Por tanto, lo que se cuestiona en el recurso de amparo es si el recurrente ha cumplido ya su condena (como él sostiene) y debe ser puesto en libertad o no la cumple hasta el año 2011 (como sostiene la Audiencia Nacional), disparidad de fechas de cumplimiento vinculada al modo de computar los beneficios penitenciarios y las redenciones de pena.</w:t>
      </w:r>
    </w:p>
    <w:p w:rsidRPr="00C21FFE" w:rsidR="00AD51A7" w:rsidRDefault="008777C4">
      <w:pPr>
        <w:rPr/>
      </w:pPr>
      <w:r w:rsidRPr="&lt;w:rPr xmlns:w=&quot;http://schemas.openxmlformats.org/wordprocessingml/2006/main&quot;&gt;&lt;w:lang w:val=&quot;es-ES_tradnl&quot; /&gt;&lt;/w:rPr&gt;">
        <w:rPr/>
        <w:t xml:space="preserve">Como ya dijimos en el reciente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[en este caso en el año 2011], lo que determinaría que la pérdida de la finalidad del amparo, caso de otorgarse el mismo, sería sólo parcial y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—en la línea de lo que constituye la práctica habitual en casos en que resulta directamente afectado el derecho a la libertad—, a la vista de los motivos de amparo y de los derechos fundamentales en juego, este Tribunal proceda a la tramitación y resolución urgente del recurso (AATC 419/1997, 267/1998, 369/2005, 214/2007).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 ejecución del Auto de 11 de enero de 2007 y de las providencias de fecha 1 de septiembre y 16 de noviembre de 2006, dictadas por la Sección Segunda de la Sala de lo Penal de la Audiencia Nacional en la Ejecutoria núm. </w:t>
      </w:r>
    </w:p>
    <w:p w:rsidRPr="" w:rsidR="00AD51A7" w:rsidRDefault="008777C4">
      <w:pPr>
        <w:rPr/>
      </w:pPr>
      <w:r w:rsidRPr="&lt;w:rPr xmlns:w=&quot;http://schemas.openxmlformats.org/wordprocessingml/2006/main&quot;&gt;&lt;w:szCs w:val=&quot;24&quot; /&gt;&lt;/w:rPr&gt;">
        <w:rPr/>
        <w:t xml:space="preserve">20-1992.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