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5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11 de marzo de 2005 el Procurador de los Tribunales don Víctor Requejo Calvo presentó demanda de amparo constitucional, en representación de don Andrés Colmenar Bravo, contra Sentencia de 2 de diciembre de 2004, dictada por la Sección Novena Bis de la Audiencia Provincial de Madrid, recaída en el recurso de apelación núm. 177-2004, interpuesto contra la resolución dictada por el Juzgado de Primera Instancia núm. 40 de Madrid en los autos núm. 475-2001 sobre resolución de arrendamiento urbano. Por otrosí solicitó la suspensión de la Sentencia impugnada en cuanto a la imposición de las costas, de conformidad con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22 de mayo de 2007 la Sala Segunda de este Tribunal Constitucional acordó la admisión a trámite de la demanda de amparo y la formación de la oportuna pieza separada para la tramitación del incidente de suspensión de la resolución recurrida, otorgando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8 de junio de 2007 evacuó el Fiscal el trámite de alegaciones conferido, interesando la denegación de la suspensión solicitada por aplicación de la consolidada doctrina de este Tribunal, que niega la suspensión de las resoluciones que condenan al pago de una suma de dinero y, de modo particular, las referidas al pago de las costas procesales, por cuanto la ejecución de las mismas no perjudica de ordinario la finalidad del amparo por ser factible su restitución si el amparo es finalmente otorgado.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se hizo uso del trámite de alegaciones por la representación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56.2 LOTC que,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aplicación del art. 56.1 LOTC, en gran parte similar en su redacción a la reciente reforma de la Ley Orgánica 6/2007,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 como sucede de ordinario con las resoluciones judiciales que condenan al pago de una determinada cantidad (entre otros muchos, AATC 293/2001, de 26 de noviembre; 211/2004, de 2 junio; 149/2006, de 8 de mayo; 460/2006,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señala el Fiscal en su escrito de alegaciones este último criterio de denegación de la suspensión ha sido particularmente aplicado por este Tribunal cuando de la suspensión de las resoluciones que condena al pago de las costas procesales se trata (AATC 277/2006; 320/2006, 446/2006, entre muchos otros), como ocurre en el presente caso. Por ello procede la denegación de la suspensión solicitada respecto del pronunciamiento sobre la condena en costas; tanto más cuanto el demandante no ha formulado alegación alguna en el presente incidente, ni ha intentado justificar el carácter irreversible de los daños que podría ocasionarle el cumplimiento de la condena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interesada de la Sentencia impugnada en el recurso de amparo núm. 01740-2005, promovido por don Andrés Colmenar Bravo.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