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13 de julio de 2006, doña Almudena Delgado Gordo, Procuradora de los Tribunales, y de don Kamal Hadid Chaar, interpuso recurso de amparo contra las resoluciones judiciales que se citan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 la Sección Tercera de la Sala de lo Penal de la Audiencia Nacional, de 26 de septiembre de 2005, se condenó al recurrente, como autor de un delito de colaboración con organización terrorista (Al Qaeda) del art. 576 CP, a la pena de seis años de prisión y multa de dieciocho meses, a razón de una cuota diaria de 5 euros, y accesoria legal de inhabilitación especial para el derecho de sufragio pasivo durante el tiempo de la condena, así como al pago de la parte proporcional de las costas. </w:t>
      </w:r>
    </w:p>
    <w:p w:rsidRPr="00C21FFE" w:rsidR="00AD51A7" w:rsidRDefault="008777C4">
      <w:pPr>
        <w:rPr/>
      </w:pPr>
      <w:r w:rsidRPr="&lt;w:rPr xmlns:w=&quot;http://schemas.openxmlformats.org/wordprocessingml/2006/main&quot;&gt;&lt;w:lang w:val=&quot;es-ES_tradnl&quot; /&gt;&lt;/w:rPr&gt;">
        <w:rPr/>
        <w:t xml:space="preserve">b) La anterior resolución fue confirmada en casación por la Sentencia de la Sala de lo Penal del Tribunal Supremo, de 31 de mayo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la tutela judicial efectiva (art. 24.1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se solicita se deje en suspenso la ejecución de la sentencia condenatoria, pues lo contrario le generaría un perjuicio irreparable que haría perder al amparo su finalidad, al haberse cumplido ya casi dos años en prisión, del total de seis que le fueron impuestos.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de 2007, la Sala Segunda de este Tribunal acordó la admisión a trámite de la demanda así como, a tenor de lo establecido en el art. 51 LOTC, requerir atentamente a la Sala Segunda del Tribunal Supremo para que remitiera certificación o fotocopia adverada de las actuaciones correspondientes al recurso de casación núm. 1158/2005, e igualmente requerir a la Sección Tercera de la Sala de lo Penal de la Audiencia Nacional para que remitiera certificación o fotocopia adverada de las actuaciones correspondientes al rollo de Sala 64-2004, debiendo previamente emplazar a quienes fueron parte en el procedimiento, a excepción del demandante de amparo, para que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la Sala Segunda acordó formar la correspondiente pieza separada de suspensión y, de conformidad con lo previsto en el art. 56 LOTC, conceder un plazo común de tres días al Ministerio Fiscal y a la parte recurrente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 de octubre de 2007 realizó sus alegaciones el demandante de amparo, quien reitera la solicitud de suspensión, argumentando que lleva cumplida más de la mitad de la condena de seis años que le fue impuesta (pues estuvo en prisión provisional 74 días y posteriormente fue ingresado en prisión cuando iba a comenzar el juicio oral, en noviembre de 2004, situación en la que se encuentra en la actualidad), restando por cumplir sólo dos años y diez meses, por lo que la no suspensión comportaría la pérdida efectiva de la finalidad del amparo, causando un daño irreparable a su libertad para el supuesto de que prospere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5 de octubre de 2007 se registró en este Tribunal el escrito de alegaciones del Ministerio Fiscal, que interesa la estimación de la solicitud de suspensión exclusivamente en lo relativo a la pena privativa de libertad, pero no respecto de los demás pronunciamientos contenidos en el fallo de las resoluciones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vigente en el momento de presentarse la demanda de amparo, anterior a la establecida por la Ley Orgánica 6/2007, de 24 de mayo—,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348/2007,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(AATC 235/2005, de 6 de junio, FJ 1; 63/2007, de 26 de febrero, FJ 2; 336/2007, de 18 de julio, FJ 1, entre otros muchos). Por el contrario, entiende procedente acordarla en aquellos otros que afectan a bienes o derechos del recurrente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las resoluciones cuya ejecución afecte a la libertad, pues el art. 56 LOTC responde a la necesidad de mantener un equilibrio entre los intereses del recurrente, los generales de la sociedad y los derechos de terceros (AATC 369/2005, de 24 de octubre, FJ 2; 214/2007, de 16 de abril, FJ 2; 287/2007, de 18 de junio, FJ 2).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9/2003, de 20 de enero, FJ 1; 334/2004, de 13 de septiembre, FJ 3; 369/2005, de 24 de octubre, FJ 2; 214/2007, de 16 de abril, FJ 2; 287/2007, de 18 de junio, FJ 2).</w:t>
      </w:r>
    </w:p>
    <w:p w:rsidRPr="00C21FFE" w:rsidR="00AD51A7" w:rsidRDefault="008777C4">
      <w:pPr>
        <w:rPr/>
      </w:pPr>
      <w:r w:rsidRPr="&lt;w:rPr xmlns:w=&quot;http://schemas.openxmlformats.org/wordprocessingml/2006/main&quot;&gt;&lt;w:lang w:val=&quot;es-ES_tradnl&quot; /&gt;&lt;/w:rPr&gt;">
        <w:rPr/>
        <w:t xml:space="preserve">Por tanto, el único criterio para acceder o no a la suspensión de resoluciones judiciales que imponen penas privativas de libertad no es el de la duración de la pena impuesta, y si bien este Tribunal no suspende con carácter general las resoluciones judiciales en lo que afecta a penas privativas de libertad superiores a cinco años, existen numerosos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En este sentido, recordábamos en el ATC 39/2004, de 9 de febrero, FJ 3, que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nos lleva a declarar, tras ponderar los intereses en juego, en primer término, la procedencia de la suspensión de la ejecución de la pena privativa de libertad impuesta, conforme a lo solicitado por el Ministerio Fiscal, pues aunque la duración de la misma es de seis años, ha de tomarse en consideración que ya se ha cumplido más de la mitad de la condena, por lo que el tiempo que resta de cumplimiento es inferior a tres años. Y si se compara dicho periodo con el tiempo que requiere la tramitación de un proceso como el presente, ha de concluirse que no suspender su ejecución ocasionaría un perjuicio irreparable, que dejaría totalmente en entredicho la eficacia de un eventual fallo estimatorio.</w:t>
      </w:r>
    </w:p>
    <w:p w:rsidRPr="00C21FFE" w:rsidR="00AD51A7" w:rsidRDefault="008777C4">
      <w:pPr>
        <w:rPr/>
      </w:pPr>
      <w:r w:rsidRPr="&lt;w:rPr xmlns:w=&quot;http://schemas.openxmlformats.org/wordprocessingml/2006/main&quot;&gt;&lt;w:lang w:val=&quot;es-ES_tradnl&quot; /&gt;&lt;/w:rPr&gt;">
        <w:rPr/>
        <w:t xml:space="preserve">Ciertamente la condena se refiera a un delito de especial gravedad por su conexión con el terrorismo, aunque existen diferencias sustanciales entre el presente caso y los resueltos, por ejemplo, en los AATC 433/2004, de 15 de noviembre, FJ 1; 334/2004, de 13 de septiembre, FJ 4, o 140/2004, de 26 de abril, FJ 4. En estos supuestos, denegábamos la suspensión, conforme interesaba el Ministerio Fiscal, pese a haberse cumplido ya la mitad de la pena privativa de libertad, teniendo en cuenta que las penas impuestas eran de nueve años y tres meses; que se trataba de delitos de pertenencia a organización criminal, y que en atención al resto de pena que quedaba por cumplir, no era previsible que el amparo perdiera su finalidad. En el presente caso, la pena impuesta es sensiblemente inferior (seis años de prisión); la condena no es por pertenencia a banda armada, sino por colaboración con organización terrorista, y el tiempo que resta por cumplir es inferior a tres años, por lo que resulta previsible que de no concederse la suspensión el amparo pudiera perder su finalidad.</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de inhabilitación especial para el ejercicio del derecho de sufragio pasivo legalmente impuesta, pues las penas accesorias han de seguir la misma suerte que la principal (AATC 131/2001, de 22 de mayo, FJ 2; y 408/2005, de 21 de noviembre, FJ 2; 80/2006, de 13 de marzo, FJ 2, entre otros muchos).</w:t>
      </w:r>
    </w:p>
    <w:p w:rsidRPr="00C21FFE" w:rsidR="00AD51A7" w:rsidRDefault="008777C4">
      <w:pPr>
        <w:rPr/>
      </w:pPr>
      <w:r w:rsidRPr="&lt;w:rPr xmlns:w=&quot;http://schemas.openxmlformats.org/wordprocessingml/2006/main&quot;&gt;&lt;w:lang w:val=&quot;es-ES_tradnl&quot; /&gt;&lt;/w:rPr&gt;">
        <w:rPr/>
        <w:t xml:space="preserve">Por lo que se refiere a los pronunciamientos de contenido patrimonial –pena de multa y costas procesales-, de conformidad con el criterio de este Tribunal, al tratarse de condenas de contenido económico, los perjuicios anejos a su ejecución son perfectamente reparables en caso de estimarse el amparo, por lo que no procede acceder a la suspensión respecto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 las resoluciones impugnadas exclusivamente en lo referente a la pena privativa de libertad de seis años de prisión y a la accesoria legal de inhabilitación especial para el ejercicio del derecho de sufragio pasivo.</w:t>
      </w:r>
    </w:p>
    <w:p w:rsidRPr="" w:rsidR="00AD51A7" w:rsidRDefault="008777C4">
      <w:pPr>
        <w:rPr/>
      </w:pPr>
      <w:r w:rsidRPr="&lt;w:rPr xmlns:w=&quot;http://schemas.openxmlformats.org/wordprocessingml/2006/main&quot;&gt;&lt;w:szCs w:val=&quot;24&quot; /&gt;&lt;/w:rPr&gt;">
        <w:rPr/>
        <w:t xml:space="preserve">2.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