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11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6 de julio de 2005, el Procurador de los Tribunales don Pablo Hornedo Muguiro, en representación de don Emiliano Murciano García, asistido por el Letrado don José Ramón Pardinas Sanz, interpuso recurso de amparo contra la Sentencia referenciada en el encabezamiento, en la que se condenaba al recurrente en amparo a la pena de un mes de multa a razón de una cuota diaria de 50 euros, con la responsabilidad personal subsidiaria, en caso de impago, de un día de privación de libertad por cada dos cuotas diarias insatisifechas. </w:t>
      </w:r>
    </w:p>
    <w:p w:rsidRPr="00C21FFE" w:rsidR="00AD51A7" w:rsidRDefault="008777C4">
      <w:pPr>
        <w:rPr/>
      </w:pPr>
      <w:r w:rsidRPr="&lt;w:rPr xmlns:w=&quot;http://schemas.openxmlformats.org/wordprocessingml/2006/main&quot;&gt;&lt;w:lang w:val=&quot;es-ES_tradnl&quot; /&gt;&lt;/w:rPr&gt;">
        <w:rPr/>
        <w:t xml:space="preserve">En otrosí, solicitaba la suspensión de la ejecución de la Sentencia, dados los perjuicios que podía acarrear al recurrente, al tener escasos recursos económicos.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providencia de 14 de mayo de 2007, de conformidad con el núm. 3 del art. 50 LOTC, acordó conceder a la parte recurrente y al Ministerio Fiscal un plazo de tres días para formular lo que estimasen pertinente en relación con lo dispuesto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Evacuadas tales alegaciones, la Sala Segunda de este Tribunal, por providencia de 16 de octubre de 2007, acordó admitir a trámite la demanda de amparo y, en aplicación de lo dispuesto en el art. 51 LOTC, dirigir sendas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del Tribunal Constitucional por providencia de la misma fecha acordó formar la oportuna pieza para la tramitación del incidente de suspensión y, de conformidad con lo dispuesto en el art. 56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presentado en el Registro General de este Tribunal el 31 de octubre de 2007, en el que consideró improcedente la suspensión, al ser la sanción cuya suspensión se solicita de carácter patrimonial, sin perjuicio de que, en caso de que no fuera abonada la multa y se declarase subsidiariamente la responsabilidad personal sustitutoria, deba de procederse a la suspensión de tal pena. Además, entiende que tampoco procede la suspensión del pronunciamiento referido a la responsabilidad civil, dada la doctrina uniforme de este Tribunal y el hecho de que el Estado haya sido declarado responsable civil subsidiario.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no efectuó alegaciones en este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la Ley Orgánica 6/2007, de 24 de mayo, dispone que “cuando la ejecución del acto o sentencia impugnados produzca un perjuicio al recurrente que pudiera hacer perder al amparo su finalidad, la Sala o la Sección en el supuesto del art.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una conocida doctrina constitucional, elaborada con ocasión de la inicial redacción del art. 56 LOTC y reiterada también en su redacción actualmente en vigor, la suspensión se configura como una medida provisional de carácter excepcional y de aplicación restrictiva, dado el interés general en la efectividad de las decisiones de los poderes públicos, y, en particular, en la ejecución de las resoluciones dictadas por los Jueces y Tribunales en el ejercicio de la potestad jurisdiccional que les confiere el art. 117.3 CE. Consecuentemente, la regla general —tal como aparece recogida actualmente en el art. 56.1 LOTC—, es la improcedencia de la suspensión, por la perturbación de la función jurisdiccional que la misma supone, salvo cuando el recurrente acredite suficientemente la irreparabilidad que para sus derechos fundamentales pudiera tener la ejecución, privando al amparo de su finalidad, y siempre que la suspensión no produzca perturbaciones graves a un interés constitucionalmente protegido, ni a los derechos fundamentales o libertades de otra persona (art. 56.2 LOTC) (ATC 362/2007, de 10 de septiembre, FJ 1).</w:t>
      </w:r>
    </w:p>
    <w:p w:rsidRPr="00C21FFE" w:rsidR="00AD51A7" w:rsidRDefault="008777C4">
      <w:pPr>
        <w:rPr/>
      </w:pPr>
      <w:r w:rsidRPr="&lt;w:rPr xmlns:w=&quot;http://schemas.openxmlformats.org/wordprocessingml/2006/main&quot;&gt;&lt;w:lang w:val=&quot;es-ES_tradnl&quot; /&gt;&lt;/w:rPr&gt;">
        <w:rPr/>
        <w:t xml:space="preserve">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ATC 198/2006, de 19 de junio, FJ 1).</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(ATC 149/2006, de 8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resulta evidente que, como hemos afirmado en el citado ATC 149/2006, FJ 2, tanto las penas de multa e indemnización como el pronunciamiento referido a las costas procesales son reconducibles a términos económicos, por lo que les resulta aplicable la doctrina recogida en el último párrafo del fundamento jurídico anterior; tanto más cuanto el actor, que no ha formulado alegación alguna en el presente incidente, ni siquiera ha intentado justificar el carácter irreversible de los daños que podría ocasionarle el cumplimiento de la condena impuesta. En tales circunstancias hemos de concluir que no procede la suspensión de las mencionadas sanciones.</w:t>
      </w:r>
    </w:p>
    <w:p w:rsidRPr="00C21FFE" w:rsidR="00AD51A7" w:rsidRDefault="008777C4">
      <w:pPr>
        <w:rPr/>
      </w:pPr>
      <w:r w:rsidRPr="&lt;w:rPr xmlns:w=&quot;http://schemas.openxmlformats.org/wordprocessingml/2006/main&quot;&gt;&lt;w:lang w:val=&quot;es-ES_tradnl&quot; /&gt;&lt;/w:rPr&gt;">
        <w:rPr/>
        <w:t xml:space="preserve">En segundo término, en cuanto a la responsabilidad personal subsidiaria para el caso de impago de la pena de multa, hemos de convenir con el Ministerio Fiscal en que se trata de una eventualidad incierta y futura que, en caso de sobrevenir, podría dar lugar a la modificación de la decisión que ahora se adopte, en virtud de lo dispuesto en el art. 57 LOTC (por todos, ATC 369/2004, de 4 de octubre), por lo que no procede en este momento su suspensión (ATC 149/2006, de 8 de mayo, FJ 2 in fine; 366/2006, de 23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5077-2005, promovido por don Emiliano Murciano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