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junio de 2003 el Abogado don Luis Miguel Pérez Espadas formuló recurso de amparo en interés de don Yelli Camara contra el Auto del Juzgado de Instrucción núm. 1 de Puerto del Rosario de 12 de junio anterior, por el que se denegó la incoación de un procedimiento de habeas corpus. Solicitó que se le tuviera por parte en representación del Sr. Camara, entendiéndose con él las sucesivas diligencias hasta que, dado que el citado Sr. Camara tenía derecho a asistencia jurídica gratuita en virtud del artículo 22.1 de la Ley Orgánica 4/2000, de 11 de enero,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2 de marzo de 2005 la designación, con carácter provisional, de la colegiada doña María del Rosario Castro Rodrigo.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21 de abril de 2005, que ingresó en este Tribunal el día 28 siguiente, el Ilustre Colegio de Abogados de Madrid comunicó que había procedido al archivo de la solicitud de asistencia jurídica gratuita de don Yelli Camara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Camara suponía, de acuerdo con el art. 18 LAJG, que quedara sin efecto la designación provisional efectuada en su día de la Procuradora doña María del Rosario Castro Rodrigo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pasado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1 de Puerto del Rosario de 12 de junio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de la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Orgánica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4167-2003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Yelli Camara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Camara,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Camara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Camara.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Yelli Camara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