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agosto de 2003 el Abogado don Luis Miguel Pérez Espadas formuló recurso de amparo en interés de don Abderraman Meiga contra el Auto del Juzgado de Instrucción núm. 3 de Puerto del Rosario de 23 de julio anterior, por el que se denegó la incoación de un procedimiento de habeas corpus. Solicitó que se le tuviera por parte en representación del Sr. Meiga, entendiéndose con él las sucesivas diligencias hasta que, dado que el citado Sr. Meiga tenía derecho a asistencia jurídica gratuita en virtud del artículo 22.1 de la Ley Orgánica 4/2000,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Cuarta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28 de febrero de 2005 la designación, con carácter provisional, de la colegiada doña María Francisca Uriarte Tejada.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28 siguiente, el Ilustre Colegio de Abogados de Madrid comunicó que había procedido al archivo de la solicitud de asistencia jurídica gratuita de don Abderraman Meiga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Meiga suponía, de acuerdo con el art. 18 LAJG, que quedara sin efecto la designación provisional efectuada en su día de la Procuradora doña María Francisca Uriarte Tejada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23 de julio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Órgánica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14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5182-2003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Abderraman Meiga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Meiga,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Meiga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Meiga.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Abderraman Meiga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