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agosto de 2003 el Abogado don Luis Miguel Pérez Espadas formuló recurso de amparo en interés de don Suma Kane contra el Auto del Juzgado de Instrucción núm. 3 de Puerto del Rosario de 23 de julio anterior, por el que se denegó la incoación de un procedimiento de habeas corpus. Solicitó que se le tuviera por parte en representación del Sr. Kane, entendiéndose con él las sucesivas diligencias hasta que, dado que el citado Sr. Kane tenía derecho a asistencia jurídica gratuita en virtud del artículo 22.1 de la Ley Orgánica 4/2000, de 11 de enero,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Cuarta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1 de marzo de 2005 la designación, con carácter provisional, del colegiado don Eusebio Ruiz Esteban.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29 siguiente, el Ilustre Colegio de Abogados de Madrid comunicó que había procedido al archivo de la solicitud de asistencia jurídica gratuita de don Suma Kane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Kane suponía, de acuerdo con el art. 18 LAJG, que quedara sin efecto la designación provisional efectuada en su día del Procurador don Eusebio Ruiz Esteban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de 2007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23 de julio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de la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Orgánica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le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5184-2003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Suma Kane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Kane,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Kane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Kane.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Suma Kane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